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1ACC" w:rsidRDefault="00C31ACC" w:rsidP="00C31ACC">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t>УТВЕРЖДЕНА</w:t>
      </w:r>
    </w:p>
    <w:p w:rsidR="00C31ACC" w:rsidRDefault="00C31ACC" w:rsidP="00C31ACC">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Постановлением</w:t>
      </w:r>
    </w:p>
    <w:p w:rsidR="00C31ACC" w:rsidRDefault="00C31ACC" w:rsidP="00C31ACC">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администрации города</w:t>
      </w:r>
    </w:p>
    <w:p w:rsidR="00C31ACC" w:rsidRDefault="00C31ACC" w:rsidP="00C31ACC">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Комсомольска-на-Амуре</w:t>
      </w:r>
    </w:p>
    <w:p w:rsidR="00C31ACC" w:rsidRDefault="00C31ACC" w:rsidP="00C31ACC">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от 9 октября 2020 г. </w:t>
      </w:r>
      <w:r>
        <w:rPr>
          <w:rFonts w:ascii="Times New Roman" w:hAnsi="Times New Roman" w:cs="Times New Roman"/>
          <w:sz w:val="28"/>
          <w:szCs w:val="28"/>
        </w:rPr>
        <w:t>№</w:t>
      </w:r>
      <w:r>
        <w:rPr>
          <w:rFonts w:ascii="Times New Roman" w:hAnsi="Times New Roman" w:cs="Times New Roman"/>
          <w:sz w:val="28"/>
          <w:szCs w:val="28"/>
        </w:rPr>
        <w:t xml:space="preserve"> 2082-па</w:t>
      </w:r>
    </w:p>
    <w:p w:rsidR="00C31ACC" w:rsidRDefault="00C31ACC" w:rsidP="00C31ACC">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(в ред. от 31.03.2021 № 512-па)</w:t>
      </w:r>
    </w:p>
    <w:p w:rsidR="00C31ACC" w:rsidRDefault="00C31ACC" w:rsidP="00C31ACC">
      <w:pPr>
        <w:autoSpaceDE w:val="0"/>
        <w:autoSpaceDN w:val="0"/>
        <w:adjustRightInd w:val="0"/>
        <w:spacing w:after="0" w:line="240" w:lineRule="auto"/>
        <w:rPr>
          <w:rFonts w:ascii="Times New Roman" w:hAnsi="Times New Roman" w:cs="Times New Roman"/>
          <w:sz w:val="24"/>
          <w:szCs w:val="24"/>
        </w:rPr>
      </w:pPr>
    </w:p>
    <w:p w:rsidR="00C31ACC" w:rsidRDefault="00C31ACC" w:rsidP="00C31ACC">
      <w:pPr>
        <w:autoSpaceDE w:val="0"/>
        <w:autoSpaceDN w:val="0"/>
        <w:adjustRightInd w:val="0"/>
        <w:spacing w:after="0" w:line="240" w:lineRule="auto"/>
        <w:jc w:val="both"/>
        <w:rPr>
          <w:rFonts w:ascii="Times New Roman" w:hAnsi="Times New Roman" w:cs="Times New Roman"/>
          <w:sz w:val="28"/>
          <w:szCs w:val="28"/>
        </w:rPr>
      </w:pPr>
    </w:p>
    <w:p w:rsidR="00C31ACC" w:rsidRDefault="00C31ACC" w:rsidP="00C31ACC">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ПАСПОРТ МУНИЦИПАЛЬНОЙ ПРОГРАММЫ</w:t>
      </w:r>
    </w:p>
    <w:p w:rsidR="00C31ACC" w:rsidRDefault="00C31ACC" w:rsidP="00C31ACC">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w:t>
      </w:r>
      <w:r>
        <w:rPr>
          <w:rFonts w:ascii="Times New Roman" w:hAnsi="Times New Roman" w:cs="Times New Roman"/>
          <w:b/>
          <w:bCs/>
          <w:sz w:val="28"/>
          <w:szCs w:val="28"/>
        </w:rPr>
        <w:t>РАЗВИТИЕ МУНИЦИПАЛЬНОЙ СЛУЖБЫ В ГОРОДЕ</w:t>
      </w:r>
    </w:p>
    <w:p w:rsidR="00C31ACC" w:rsidRDefault="00C31ACC" w:rsidP="00C31ACC">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КОМСОМОЛЬСКЕ-НА-АМУРЕ</w:t>
      </w:r>
      <w:r>
        <w:rPr>
          <w:rFonts w:ascii="Times New Roman" w:hAnsi="Times New Roman" w:cs="Times New Roman"/>
          <w:b/>
          <w:bCs/>
          <w:sz w:val="28"/>
          <w:szCs w:val="28"/>
        </w:rPr>
        <w:t>»</w:t>
      </w:r>
    </w:p>
    <w:p w:rsidR="00C31ACC" w:rsidRDefault="00C31ACC" w:rsidP="00C31ACC">
      <w:pPr>
        <w:autoSpaceDE w:val="0"/>
        <w:autoSpaceDN w:val="0"/>
        <w:adjustRightInd w:val="0"/>
        <w:spacing w:after="0" w:line="240" w:lineRule="auto"/>
        <w:jc w:val="both"/>
        <w:rPr>
          <w:rFonts w:ascii="Times New Roman" w:hAnsi="Times New Roman" w:cs="Times New Roman"/>
          <w:sz w:val="28"/>
          <w:szCs w:val="28"/>
        </w:rPr>
      </w:pPr>
    </w:p>
    <w:tbl>
      <w:tblPr>
        <w:tblW w:w="9701" w:type="dxa"/>
        <w:tblLayout w:type="fixed"/>
        <w:tblCellMar>
          <w:top w:w="102" w:type="dxa"/>
          <w:left w:w="62" w:type="dxa"/>
          <w:bottom w:w="102" w:type="dxa"/>
          <w:right w:w="62" w:type="dxa"/>
        </w:tblCellMar>
        <w:tblLook w:val="0000" w:firstRow="0" w:lastRow="0" w:firstColumn="0" w:lastColumn="0" w:noHBand="0" w:noVBand="0"/>
      </w:tblPr>
      <w:tblGrid>
        <w:gridCol w:w="2330"/>
        <w:gridCol w:w="7371"/>
      </w:tblGrid>
      <w:tr w:rsidR="00C31ACC" w:rsidTr="00C31ACC">
        <w:tc>
          <w:tcPr>
            <w:tcW w:w="2330" w:type="dxa"/>
            <w:tcBorders>
              <w:top w:val="single" w:sz="4" w:space="0" w:color="auto"/>
              <w:left w:val="single" w:sz="4" w:space="0" w:color="auto"/>
              <w:bottom w:val="single" w:sz="4" w:space="0" w:color="auto"/>
              <w:right w:val="single" w:sz="4" w:space="0" w:color="auto"/>
            </w:tcBorders>
          </w:tcPr>
          <w:p w:rsidR="00C31ACC" w:rsidRDefault="00C31ACC">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Ответственный исполнитель Программы</w:t>
            </w:r>
          </w:p>
        </w:tc>
        <w:tc>
          <w:tcPr>
            <w:tcW w:w="7371" w:type="dxa"/>
            <w:tcBorders>
              <w:top w:val="single" w:sz="4" w:space="0" w:color="auto"/>
              <w:left w:val="single" w:sz="4" w:space="0" w:color="auto"/>
              <w:bottom w:val="single" w:sz="4" w:space="0" w:color="auto"/>
              <w:right w:val="single" w:sz="4" w:space="0" w:color="auto"/>
            </w:tcBorders>
          </w:tcPr>
          <w:p w:rsidR="00C31ACC" w:rsidRDefault="00C31ACC">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Администрация города (Отдел бухгалтерии администрации города (далее - Отдел бухгалтерии)</w:t>
            </w:r>
          </w:p>
        </w:tc>
      </w:tr>
      <w:tr w:rsidR="00C31ACC" w:rsidTr="00C31ACC">
        <w:tc>
          <w:tcPr>
            <w:tcW w:w="2330" w:type="dxa"/>
            <w:tcBorders>
              <w:top w:val="single" w:sz="4" w:space="0" w:color="auto"/>
              <w:left w:val="single" w:sz="4" w:space="0" w:color="auto"/>
              <w:bottom w:val="single" w:sz="4" w:space="0" w:color="auto"/>
              <w:right w:val="single" w:sz="4" w:space="0" w:color="auto"/>
            </w:tcBorders>
          </w:tcPr>
          <w:p w:rsidR="00C31ACC" w:rsidRDefault="00C31ACC">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Соисполнители Программы</w:t>
            </w:r>
          </w:p>
        </w:tc>
        <w:tc>
          <w:tcPr>
            <w:tcW w:w="7371" w:type="dxa"/>
            <w:tcBorders>
              <w:top w:val="single" w:sz="4" w:space="0" w:color="auto"/>
              <w:left w:val="single" w:sz="4" w:space="0" w:color="auto"/>
              <w:bottom w:val="single" w:sz="4" w:space="0" w:color="auto"/>
              <w:right w:val="single" w:sz="4" w:space="0" w:color="auto"/>
            </w:tcBorders>
          </w:tcPr>
          <w:p w:rsidR="00C31ACC" w:rsidRDefault="00C31ACC">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Администрация города (Отдел кадровой и муниципальной службы администрации города Комсомольска-на-Амуре (далее - Отдел кадровой и муниципальной службы);</w:t>
            </w:r>
          </w:p>
          <w:p w:rsidR="00C31ACC" w:rsidRDefault="00C31ACC">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Комсомольская-на-Амуре городская Дума (далее - Городская Дума);</w:t>
            </w:r>
          </w:p>
          <w:p w:rsidR="00C31ACC" w:rsidRDefault="00C31ACC">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Комитет по управлению имуществом администрации города Комсомольска-на-Амуре Хабаровского края (далее - Комитет по управлению имуществом);</w:t>
            </w:r>
          </w:p>
          <w:p w:rsidR="00C31ACC" w:rsidRDefault="00C31ACC">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Управление жилищно-коммунального хозяйства, топлива и энергетики администрации города Комсомольска-на-Амуре Хабаровского края (далее - Управление ЖКХ, </w:t>
            </w:r>
            <w:proofErr w:type="spellStart"/>
            <w:r>
              <w:rPr>
                <w:rFonts w:ascii="Times New Roman" w:hAnsi="Times New Roman" w:cs="Times New Roman"/>
                <w:sz w:val="28"/>
                <w:szCs w:val="28"/>
              </w:rPr>
              <w:t>ТиЭ</w:t>
            </w:r>
            <w:proofErr w:type="spellEnd"/>
            <w:r>
              <w:rPr>
                <w:rFonts w:ascii="Times New Roman" w:hAnsi="Times New Roman" w:cs="Times New Roman"/>
                <w:sz w:val="28"/>
                <w:szCs w:val="28"/>
              </w:rPr>
              <w:t>);</w:t>
            </w:r>
          </w:p>
          <w:p w:rsidR="00C31ACC" w:rsidRDefault="00C31ACC">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Управление дорожной деятельности и внешнего благоустройства (далее - Управление </w:t>
            </w:r>
            <w:proofErr w:type="spellStart"/>
            <w:r>
              <w:rPr>
                <w:rFonts w:ascii="Times New Roman" w:hAnsi="Times New Roman" w:cs="Times New Roman"/>
                <w:sz w:val="28"/>
                <w:szCs w:val="28"/>
              </w:rPr>
              <w:t>ДДиВБ</w:t>
            </w:r>
            <w:proofErr w:type="spellEnd"/>
            <w:r>
              <w:rPr>
                <w:rFonts w:ascii="Times New Roman" w:hAnsi="Times New Roman" w:cs="Times New Roman"/>
                <w:sz w:val="28"/>
                <w:szCs w:val="28"/>
              </w:rPr>
              <w:t>);</w:t>
            </w:r>
          </w:p>
          <w:p w:rsidR="00C31ACC" w:rsidRDefault="00C31ACC">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Управление архитектуры и градостроительства администрации города Комсомольска-на-Амуре Хабаровского края (далее - Управление </w:t>
            </w:r>
            <w:proofErr w:type="spellStart"/>
            <w:r>
              <w:rPr>
                <w:rFonts w:ascii="Times New Roman" w:hAnsi="Times New Roman" w:cs="Times New Roman"/>
                <w:sz w:val="28"/>
                <w:szCs w:val="28"/>
              </w:rPr>
              <w:t>АиГ</w:t>
            </w:r>
            <w:proofErr w:type="spellEnd"/>
            <w:r>
              <w:rPr>
                <w:rFonts w:ascii="Times New Roman" w:hAnsi="Times New Roman" w:cs="Times New Roman"/>
                <w:sz w:val="28"/>
                <w:szCs w:val="28"/>
              </w:rPr>
              <w:t>);</w:t>
            </w:r>
          </w:p>
          <w:p w:rsidR="00C31ACC" w:rsidRDefault="00C31ACC">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Финансовое управление администрации города Комсомольска-на-Амуре Хабаровского края (далее - Финансовое управление);</w:t>
            </w:r>
          </w:p>
          <w:p w:rsidR="00C31ACC" w:rsidRDefault="00C31ACC">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Управление по делам гражданской обороны и чрезвычайным ситуациям администрации города Комсомольска-на-Амуре Хабаровского края (далее - Управление </w:t>
            </w:r>
            <w:proofErr w:type="spellStart"/>
            <w:r>
              <w:rPr>
                <w:rFonts w:ascii="Times New Roman" w:hAnsi="Times New Roman" w:cs="Times New Roman"/>
                <w:sz w:val="28"/>
                <w:szCs w:val="28"/>
              </w:rPr>
              <w:t>ГОиЧС</w:t>
            </w:r>
            <w:proofErr w:type="spellEnd"/>
            <w:r>
              <w:rPr>
                <w:rFonts w:ascii="Times New Roman" w:hAnsi="Times New Roman" w:cs="Times New Roman"/>
                <w:sz w:val="28"/>
                <w:szCs w:val="28"/>
              </w:rPr>
              <w:t>);</w:t>
            </w:r>
          </w:p>
          <w:p w:rsidR="00C31ACC" w:rsidRDefault="00C31ACC">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Управление образования администрации города Комсомольска-на-Амуре Хабаровского края (далее - Управление образования);</w:t>
            </w:r>
          </w:p>
          <w:p w:rsidR="00C31ACC" w:rsidRDefault="00C31ACC">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Управление по физической культуре, спорту и молодежной политике администрации города Комсомольска-на-Амуре Хабаровского края (далее - </w:t>
            </w:r>
            <w:r>
              <w:rPr>
                <w:rFonts w:ascii="Times New Roman" w:hAnsi="Times New Roman" w:cs="Times New Roman"/>
                <w:sz w:val="28"/>
                <w:szCs w:val="28"/>
              </w:rPr>
              <w:lastRenderedPageBreak/>
              <w:t xml:space="preserve">Управление по </w:t>
            </w:r>
            <w:proofErr w:type="spellStart"/>
            <w:r>
              <w:rPr>
                <w:rFonts w:ascii="Times New Roman" w:hAnsi="Times New Roman" w:cs="Times New Roman"/>
                <w:sz w:val="28"/>
                <w:szCs w:val="28"/>
              </w:rPr>
              <w:t>ФКСиМП</w:t>
            </w:r>
            <w:proofErr w:type="spellEnd"/>
            <w:r>
              <w:rPr>
                <w:rFonts w:ascii="Times New Roman" w:hAnsi="Times New Roman" w:cs="Times New Roman"/>
                <w:sz w:val="28"/>
                <w:szCs w:val="28"/>
              </w:rPr>
              <w:t>);</w:t>
            </w:r>
          </w:p>
          <w:p w:rsidR="00C31ACC" w:rsidRDefault="00C31ACC">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Отдел культуры администрации города Комсомольска-на-Амуре Хабаровского края (далее - Отдел культуры)</w:t>
            </w:r>
          </w:p>
        </w:tc>
      </w:tr>
      <w:tr w:rsidR="00C31ACC" w:rsidTr="00C31ACC">
        <w:tc>
          <w:tcPr>
            <w:tcW w:w="2330" w:type="dxa"/>
            <w:tcBorders>
              <w:top w:val="single" w:sz="4" w:space="0" w:color="auto"/>
              <w:left w:val="single" w:sz="4" w:space="0" w:color="auto"/>
              <w:bottom w:val="single" w:sz="4" w:space="0" w:color="auto"/>
              <w:right w:val="single" w:sz="4" w:space="0" w:color="auto"/>
            </w:tcBorders>
          </w:tcPr>
          <w:p w:rsidR="00C31ACC" w:rsidRDefault="00C31ACC">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Цель Программы</w:t>
            </w:r>
          </w:p>
        </w:tc>
        <w:tc>
          <w:tcPr>
            <w:tcW w:w="7371" w:type="dxa"/>
            <w:tcBorders>
              <w:top w:val="single" w:sz="4" w:space="0" w:color="auto"/>
              <w:left w:val="single" w:sz="4" w:space="0" w:color="auto"/>
              <w:bottom w:val="single" w:sz="4" w:space="0" w:color="auto"/>
              <w:right w:val="single" w:sz="4" w:space="0" w:color="auto"/>
            </w:tcBorders>
          </w:tcPr>
          <w:p w:rsidR="00C31ACC" w:rsidRDefault="00C31ACC">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Повышение эффективности и результативности муниципальной службы</w:t>
            </w:r>
          </w:p>
        </w:tc>
      </w:tr>
      <w:tr w:rsidR="00C31ACC" w:rsidTr="00C31ACC">
        <w:tc>
          <w:tcPr>
            <w:tcW w:w="2330" w:type="dxa"/>
            <w:tcBorders>
              <w:top w:val="single" w:sz="4" w:space="0" w:color="auto"/>
              <w:left w:val="single" w:sz="4" w:space="0" w:color="auto"/>
              <w:bottom w:val="single" w:sz="4" w:space="0" w:color="auto"/>
              <w:right w:val="single" w:sz="4" w:space="0" w:color="auto"/>
            </w:tcBorders>
          </w:tcPr>
          <w:p w:rsidR="00C31ACC" w:rsidRDefault="00C31ACC">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Задачи Программы</w:t>
            </w:r>
          </w:p>
        </w:tc>
        <w:tc>
          <w:tcPr>
            <w:tcW w:w="7371" w:type="dxa"/>
            <w:tcBorders>
              <w:top w:val="single" w:sz="4" w:space="0" w:color="auto"/>
              <w:left w:val="single" w:sz="4" w:space="0" w:color="auto"/>
              <w:bottom w:val="single" w:sz="4" w:space="0" w:color="auto"/>
              <w:right w:val="single" w:sz="4" w:space="0" w:color="auto"/>
            </w:tcBorders>
          </w:tcPr>
          <w:p w:rsidR="00C31ACC" w:rsidRDefault="00C31ACC">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повышение эффективности деятельности органов местного самоуправления - профессиональное развитие муниципальных служащих органов местного самоуправления</w:t>
            </w:r>
          </w:p>
        </w:tc>
      </w:tr>
      <w:tr w:rsidR="00C31ACC" w:rsidTr="00C31ACC">
        <w:tc>
          <w:tcPr>
            <w:tcW w:w="2330" w:type="dxa"/>
            <w:tcBorders>
              <w:top w:val="single" w:sz="4" w:space="0" w:color="auto"/>
              <w:left w:val="single" w:sz="4" w:space="0" w:color="auto"/>
              <w:bottom w:val="single" w:sz="4" w:space="0" w:color="auto"/>
              <w:right w:val="single" w:sz="4" w:space="0" w:color="auto"/>
            </w:tcBorders>
          </w:tcPr>
          <w:p w:rsidR="00C31ACC" w:rsidRDefault="00C31ACC">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Подпрограммы</w:t>
            </w:r>
          </w:p>
        </w:tc>
        <w:tc>
          <w:tcPr>
            <w:tcW w:w="7371" w:type="dxa"/>
            <w:tcBorders>
              <w:top w:val="single" w:sz="4" w:space="0" w:color="auto"/>
              <w:left w:val="single" w:sz="4" w:space="0" w:color="auto"/>
              <w:bottom w:val="single" w:sz="4" w:space="0" w:color="auto"/>
              <w:right w:val="single" w:sz="4" w:space="0" w:color="auto"/>
            </w:tcBorders>
          </w:tcPr>
          <w:p w:rsidR="00C31ACC" w:rsidRDefault="00C31ACC">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В рамках Программы реализация подпрограмм не предусмотрена</w:t>
            </w:r>
          </w:p>
        </w:tc>
      </w:tr>
      <w:tr w:rsidR="00C31ACC" w:rsidTr="00C31ACC">
        <w:tc>
          <w:tcPr>
            <w:tcW w:w="2330" w:type="dxa"/>
            <w:tcBorders>
              <w:top w:val="single" w:sz="4" w:space="0" w:color="auto"/>
              <w:left w:val="single" w:sz="4" w:space="0" w:color="auto"/>
              <w:bottom w:val="single" w:sz="4" w:space="0" w:color="auto"/>
              <w:right w:val="single" w:sz="4" w:space="0" w:color="auto"/>
            </w:tcBorders>
          </w:tcPr>
          <w:p w:rsidR="00C31ACC" w:rsidRDefault="00C31ACC">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Основные мероприятия Программы:</w:t>
            </w:r>
          </w:p>
        </w:tc>
        <w:tc>
          <w:tcPr>
            <w:tcW w:w="7371" w:type="dxa"/>
            <w:tcBorders>
              <w:top w:val="single" w:sz="4" w:space="0" w:color="auto"/>
              <w:left w:val="single" w:sz="4" w:space="0" w:color="auto"/>
              <w:bottom w:val="single" w:sz="4" w:space="0" w:color="auto"/>
              <w:right w:val="single" w:sz="4" w:space="0" w:color="auto"/>
            </w:tcBorders>
          </w:tcPr>
          <w:p w:rsidR="00C31ACC" w:rsidRDefault="00C31ACC">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стимулирование органов местного самоуправления к повышению эффективности деятельности;</w:t>
            </w:r>
          </w:p>
          <w:p w:rsidR="00C31ACC" w:rsidRDefault="00C31ACC">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профессиональное развитие муниципальных служащих органов местного самоуправления</w:t>
            </w:r>
          </w:p>
        </w:tc>
      </w:tr>
      <w:tr w:rsidR="00C31ACC" w:rsidTr="00C31ACC">
        <w:tc>
          <w:tcPr>
            <w:tcW w:w="2330" w:type="dxa"/>
            <w:tcBorders>
              <w:top w:val="single" w:sz="4" w:space="0" w:color="auto"/>
              <w:left w:val="single" w:sz="4" w:space="0" w:color="auto"/>
              <w:bottom w:val="single" w:sz="4" w:space="0" w:color="auto"/>
              <w:right w:val="single" w:sz="4" w:space="0" w:color="auto"/>
            </w:tcBorders>
          </w:tcPr>
          <w:p w:rsidR="00C31ACC" w:rsidRDefault="00C31ACC">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Показатели (индикаторы) Программы</w:t>
            </w:r>
          </w:p>
        </w:tc>
        <w:tc>
          <w:tcPr>
            <w:tcW w:w="7371" w:type="dxa"/>
            <w:tcBorders>
              <w:top w:val="single" w:sz="4" w:space="0" w:color="auto"/>
              <w:left w:val="single" w:sz="4" w:space="0" w:color="auto"/>
              <w:bottom w:val="single" w:sz="4" w:space="0" w:color="auto"/>
              <w:right w:val="single" w:sz="4" w:space="0" w:color="auto"/>
            </w:tcBorders>
          </w:tcPr>
          <w:p w:rsidR="00C31ACC" w:rsidRDefault="00C31ACC">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комплексная оценка эффективности деятельности органов местного самоуправления за год, предшествующий отчетному году;</w:t>
            </w:r>
          </w:p>
          <w:p w:rsidR="00C31ACC" w:rsidRDefault="00C31ACC">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доля муниципальных служащих, получивших дополнительное профессиональное образование, прошедших обучение, от общего количества муниципальных служащих</w:t>
            </w:r>
          </w:p>
        </w:tc>
      </w:tr>
      <w:tr w:rsidR="00C31ACC" w:rsidTr="00C31ACC">
        <w:tc>
          <w:tcPr>
            <w:tcW w:w="2330" w:type="dxa"/>
            <w:tcBorders>
              <w:top w:val="single" w:sz="4" w:space="0" w:color="auto"/>
              <w:left w:val="single" w:sz="4" w:space="0" w:color="auto"/>
              <w:bottom w:val="single" w:sz="4" w:space="0" w:color="auto"/>
              <w:right w:val="single" w:sz="4" w:space="0" w:color="auto"/>
            </w:tcBorders>
          </w:tcPr>
          <w:p w:rsidR="00C31ACC" w:rsidRDefault="00C31ACC">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Сроки реализации Программы</w:t>
            </w:r>
          </w:p>
        </w:tc>
        <w:tc>
          <w:tcPr>
            <w:tcW w:w="7371" w:type="dxa"/>
            <w:tcBorders>
              <w:top w:val="single" w:sz="4" w:space="0" w:color="auto"/>
              <w:left w:val="single" w:sz="4" w:space="0" w:color="auto"/>
              <w:bottom w:val="single" w:sz="4" w:space="0" w:color="auto"/>
              <w:right w:val="single" w:sz="4" w:space="0" w:color="auto"/>
            </w:tcBorders>
          </w:tcPr>
          <w:p w:rsidR="00C31ACC" w:rsidRDefault="00C31ACC">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2021 - 2024 годы</w:t>
            </w:r>
          </w:p>
        </w:tc>
      </w:tr>
      <w:tr w:rsidR="00C31ACC" w:rsidTr="00C31ACC">
        <w:tc>
          <w:tcPr>
            <w:tcW w:w="2330" w:type="dxa"/>
            <w:tcBorders>
              <w:top w:val="single" w:sz="4" w:space="0" w:color="auto"/>
              <w:left w:val="single" w:sz="4" w:space="0" w:color="auto"/>
              <w:right w:val="single" w:sz="4" w:space="0" w:color="auto"/>
            </w:tcBorders>
          </w:tcPr>
          <w:p w:rsidR="00C31ACC" w:rsidRDefault="00C31ACC">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Ресурсное обеспечение реализации Программы за счет средств местного бюджета</w:t>
            </w:r>
          </w:p>
        </w:tc>
        <w:tc>
          <w:tcPr>
            <w:tcW w:w="7371" w:type="dxa"/>
            <w:tcBorders>
              <w:top w:val="single" w:sz="4" w:space="0" w:color="auto"/>
              <w:left w:val="single" w:sz="4" w:space="0" w:color="auto"/>
              <w:right w:val="single" w:sz="4" w:space="0" w:color="auto"/>
            </w:tcBorders>
          </w:tcPr>
          <w:p w:rsidR="00C31ACC" w:rsidRDefault="00C31ACC">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Ресурсное обеспечение реализации Программы за счет средств местного бюджета составляет 41 700,76 тыс. рублей, в том числе по годам:</w:t>
            </w:r>
          </w:p>
          <w:p w:rsidR="00C31ACC" w:rsidRDefault="00C31ACC">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2021 год - 13 935,33 тыс. рублей;</w:t>
            </w:r>
          </w:p>
          <w:p w:rsidR="00C31ACC" w:rsidRDefault="00C31ACC">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2022 год - 9 110,01 тыс. рублей;</w:t>
            </w:r>
          </w:p>
          <w:p w:rsidR="00C31ACC" w:rsidRDefault="00C31ACC">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2023 год - 9 327,71 тыс. рублей;</w:t>
            </w:r>
          </w:p>
          <w:p w:rsidR="00C31ACC" w:rsidRDefault="00C31ACC">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2024 год - 9 327,71 тыс. рублей.</w:t>
            </w:r>
          </w:p>
        </w:tc>
      </w:tr>
      <w:tr w:rsidR="00C31ACC" w:rsidTr="00C31ACC">
        <w:tc>
          <w:tcPr>
            <w:tcW w:w="2330" w:type="dxa"/>
            <w:tcBorders>
              <w:top w:val="single" w:sz="4" w:space="0" w:color="auto"/>
              <w:left w:val="single" w:sz="4" w:space="0" w:color="auto"/>
              <w:bottom w:val="single" w:sz="4" w:space="0" w:color="auto"/>
              <w:right w:val="single" w:sz="4" w:space="0" w:color="auto"/>
            </w:tcBorders>
          </w:tcPr>
          <w:p w:rsidR="00C31ACC" w:rsidRDefault="00C31ACC">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Конечный результат реализации Программы</w:t>
            </w:r>
          </w:p>
        </w:tc>
        <w:tc>
          <w:tcPr>
            <w:tcW w:w="7371" w:type="dxa"/>
            <w:tcBorders>
              <w:top w:val="single" w:sz="4" w:space="0" w:color="auto"/>
              <w:left w:val="single" w:sz="4" w:space="0" w:color="auto"/>
              <w:bottom w:val="single" w:sz="4" w:space="0" w:color="auto"/>
              <w:right w:val="single" w:sz="4" w:space="0" w:color="auto"/>
            </w:tcBorders>
          </w:tcPr>
          <w:p w:rsidR="00C31ACC" w:rsidRDefault="00C31ACC">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повышение уровня комплексной оценки эффективности деятельности органов местного самоуправления за год, предшествующий отчетному году с 0,498 до 0,505;</w:t>
            </w:r>
          </w:p>
          <w:p w:rsidR="00C31ACC" w:rsidRDefault="00C31ACC">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сохранение ежегодной доли муниципальных служащих, получивших дополнительное образование на уровне 25%;</w:t>
            </w:r>
          </w:p>
          <w:p w:rsidR="00C31ACC" w:rsidRDefault="00C31ACC">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сохранение доли должностей муниципальной службы, на которые сформирован кадровый резерв на уровне 100%;</w:t>
            </w:r>
          </w:p>
          <w:p w:rsidR="00C31ACC" w:rsidRDefault="00C31ACC">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сохранение доли вакантных должностей муниципальной </w:t>
            </w:r>
            <w:r>
              <w:rPr>
                <w:rFonts w:ascii="Times New Roman" w:hAnsi="Times New Roman" w:cs="Times New Roman"/>
                <w:sz w:val="28"/>
                <w:szCs w:val="28"/>
              </w:rPr>
              <w:lastRenderedPageBreak/>
              <w:t>службы, замещенных по результатам конкурса, от общего количества замещенных вакантных должностей муниципальной службы на уровне 25%;</w:t>
            </w:r>
          </w:p>
          <w:p w:rsidR="00C31ACC" w:rsidRDefault="00C31ACC">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сохранение доли вакантных должностей муниципальной службы, замещенных на основе назначения из кадрового резерва, от общего количества замещенных вакантных должностей муниципальной службы на уровне 75%</w:t>
            </w:r>
          </w:p>
        </w:tc>
      </w:tr>
    </w:tbl>
    <w:p w:rsidR="00C31ACC" w:rsidRDefault="00C31ACC" w:rsidP="00C31ACC">
      <w:pPr>
        <w:autoSpaceDE w:val="0"/>
        <w:autoSpaceDN w:val="0"/>
        <w:adjustRightInd w:val="0"/>
        <w:spacing w:after="0" w:line="240" w:lineRule="auto"/>
        <w:jc w:val="both"/>
        <w:rPr>
          <w:rFonts w:ascii="Times New Roman" w:hAnsi="Times New Roman" w:cs="Times New Roman"/>
          <w:sz w:val="28"/>
          <w:szCs w:val="28"/>
        </w:rPr>
      </w:pPr>
    </w:p>
    <w:p w:rsidR="00C31ACC" w:rsidRDefault="00C31ACC" w:rsidP="00C31ACC">
      <w:pPr>
        <w:autoSpaceDE w:val="0"/>
        <w:autoSpaceDN w:val="0"/>
        <w:adjustRightInd w:val="0"/>
        <w:spacing w:after="0" w:line="240" w:lineRule="auto"/>
        <w:ind w:firstLine="709"/>
        <w:jc w:val="center"/>
        <w:outlineLvl w:val="1"/>
        <w:rPr>
          <w:rFonts w:ascii="Times New Roman" w:hAnsi="Times New Roman" w:cs="Times New Roman"/>
          <w:b/>
          <w:bCs/>
          <w:sz w:val="28"/>
          <w:szCs w:val="28"/>
        </w:rPr>
      </w:pPr>
      <w:r>
        <w:rPr>
          <w:rFonts w:ascii="Times New Roman" w:hAnsi="Times New Roman" w:cs="Times New Roman"/>
          <w:b/>
          <w:bCs/>
          <w:sz w:val="28"/>
          <w:szCs w:val="28"/>
        </w:rPr>
        <w:t>1. Общая характеристика текущего</w:t>
      </w:r>
    </w:p>
    <w:p w:rsidR="00C31ACC" w:rsidRDefault="00C31ACC" w:rsidP="00C31ACC">
      <w:pPr>
        <w:autoSpaceDE w:val="0"/>
        <w:autoSpaceDN w:val="0"/>
        <w:adjustRightInd w:val="0"/>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состояния местного самоуправления</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Развитие местного самоуправления на уровне городского округа города Комсомольска - на - Амуре невозможно без эффективного муниципального управления. Развитие системы местного самоуправления в России формирует муниципальное управление как новую сферу управленческой деятельности и новую профессиональную квалификацию.</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Одним из актуальных вопросов для развития местного самоуправления является уровень профессионализма муниципальных служащих и, соответственно, кадровая обеспеченность.</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Современные условия развития общества и государства предъявляют особые требования к муниципальным служащим и, прежде всего, к их профессионализму и компетентности. Развитие муниципальной службы должно обеспечить решение задач, определенных </w:t>
      </w:r>
      <w:hyperlink r:id="rId7" w:history="1">
        <w:r>
          <w:rPr>
            <w:rFonts w:ascii="Times New Roman" w:hAnsi="Times New Roman" w:cs="Times New Roman"/>
            <w:color w:val="0000FF"/>
            <w:sz w:val="28"/>
            <w:szCs w:val="28"/>
          </w:rPr>
          <w:t>Стратегией</w:t>
        </w:r>
      </w:hyperlink>
      <w:r>
        <w:rPr>
          <w:rFonts w:ascii="Times New Roman" w:hAnsi="Times New Roman" w:cs="Times New Roman"/>
          <w:sz w:val="28"/>
          <w:szCs w:val="28"/>
        </w:rPr>
        <w:t xml:space="preserve"> социально-экономического развития муниципального образования городского округа </w:t>
      </w:r>
      <w:r>
        <w:rPr>
          <w:rFonts w:ascii="Times New Roman" w:hAnsi="Times New Roman" w:cs="Times New Roman"/>
          <w:sz w:val="28"/>
          <w:szCs w:val="28"/>
        </w:rPr>
        <w:t>«</w:t>
      </w:r>
      <w:r>
        <w:rPr>
          <w:rFonts w:ascii="Times New Roman" w:hAnsi="Times New Roman" w:cs="Times New Roman"/>
          <w:sz w:val="28"/>
          <w:szCs w:val="28"/>
        </w:rPr>
        <w:t>Город Комсомольск-на-Амуре</w:t>
      </w:r>
      <w:r>
        <w:rPr>
          <w:rFonts w:ascii="Times New Roman" w:hAnsi="Times New Roman" w:cs="Times New Roman"/>
          <w:sz w:val="28"/>
          <w:szCs w:val="28"/>
        </w:rPr>
        <w:t>»</w:t>
      </w:r>
      <w:r>
        <w:rPr>
          <w:rFonts w:ascii="Times New Roman" w:hAnsi="Times New Roman" w:cs="Times New Roman"/>
          <w:sz w:val="28"/>
          <w:szCs w:val="28"/>
        </w:rPr>
        <w:t xml:space="preserve"> до 2032 года, утвержденной решением Комсомольской-на-Амуре Думы от 28 декабря 2016 г. N 116, и </w:t>
      </w:r>
      <w:hyperlink r:id="rId8" w:history="1">
        <w:r>
          <w:rPr>
            <w:rFonts w:ascii="Times New Roman" w:hAnsi="Times New Roman" w:cs="Times New Roman"/>
            <w:color w:val="0000FF"/>
            <w:sz w:val="28"/>
            <w:szCs w:val="28"/>
          </w:rPr>
          <w:t>Планом</w:t>
        </w:r>
      </w:hyperlink>
      <w:r>
        <w:rPr>
          <w:rFonts w:ascii="Times New Roman" w:hAnsi="Times New Roman" w:cs="Times New Roman"/>
          <w:sz w:val="28"/>
          <w:szCs w:val="28"/>
        </w:rPr>
        <w:t xml:space="preserve"> мероприятий по реализации Стратегии социально-экономического развития муниципального образования городского округа </w:t>
      </w:r>
      <w:r>
        <w:rPr>
          <w:rFonts w:ascii="Times New Roman" w:hAnsi="Times New Roman" w:cs="Times New Roman"/>
          <w:sz w:val="28"/>
          <w:szCs w:val="28"/>
        </w:rPr>
        <w:t>«</w:t>
      </w:r>
      <w:r>
        <w:rPr>
          <w:rFonts w:ascii="Times New Roman" w:hAnsi="Times New Roman" w:cs="Times New Roman"/>
          <w:sz w:val="28"/>
          <w:szCs w:val="28"/>
        </w:rPr>
        <w:t>Город Комсомольск-на-Амуре</w:t>
      </w:r>
      <w:r>
        <w:rPr>
          <w:rFonts w:ascii="Times New Roman" w:hAnsi="Times New Roman" w:cs="Times New Roman"/>
          <w:sz w:val="28"/>
          <w:szCs w:val="28"/>
        </w:rPr>
        <w:t>»</w:t>
      </w:r>
      <w:r>
        <w:rPr>
          <w:rFonts w:ascii="Times New Roman" w:hAnsi="Times New Roman" w:cs="Times New Roman"/>
          <w:sz w:val="28"/>
          <w:szCs w:val="28"/>
        </w:rPr>
        <w:t xml:space="preserve"> до 2032 года, утвержденным постановлением администрации города Комсомольска-на-Амуре от 25 сентября 2017 г. N 2419-па. Недостаток квалифицированных кадров, способных на уровне современных требований эффективно осваивать новые, современные методы решения профессиональных задач, эффективно управлять изменениями в различных областях общественной жизни, является одной из насущных проблем муниципального уровня, и без эффективной системы подготовки, переподготовки и повышения квалификации муниципальных служащих уже невозможно обойтись.</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Дальнейшее развитие и совершенствование системы профессиональной переподготовки и повышения квалификации муниципальных служащих направлено на то, чтобы оперативно реагировать на актуальные общегосударственные проблемы, в полной мере удовлетворять потребности органов местного самоуправления в профессионально подготовленных, компетентных, высоконравственных руководителях и специалистах новой формации.</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Качество работы органов местного самоуправления напрямую зависит от уровня профессиональной квалификации муниципальных служащих.</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Отсутствие необходимых знаний и профессиональных навыков приводит к низкому качеству управленческих решений и, как следствие, к потере авторитета органов местного самоуправления в глазах населения, поэтому формирование единой системы обучения кадров, внедрение эффективных методов подбора квалифицированных кадров является одним из инструментов повышения эффективности муниципального управления.</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 результативность деятельности органов местного самоуправления оказывают влияние такие факторы, как четкая регламентация и доступность услуг, оказываемых населению, совершенствование механизма стимулирования муниципальных служащих в зависимости от результатов труда.</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p>
    <w:p w:rsidR="00C31ACC" w:rsidRDefault="00C31ACC" w:rsidP="00C31ACC">
      <w:pPr>
        <w:autoSpaceDE w:val="0"/>
        <w:autoSpaceDN w:val="0"/>
        <w:adjustRightInd w:val="0"/>
        <w:spacing w:after="0" w:line="240" w:lineRule="auto"/>
        <w:ind w:firstLine="709"/>
        <w:jc w:val="center"/>
        <w:outlineLvl w:val="1"/>
        <w:rPr>
          <w:rFonts w:ascii="Times New Roman" w:hAnsi="Times New Roman" w:cs="Times New Roman"/>
          <w:b/>
          <w:bCs/>
          <w:sz w:val="28"/>
          <w:szCs w:val="28"/>
        </w:rPr>
      </w:pPr>
      <w:r>
        <w:rPr>
          <w:rFonts w:ascii="Times New Roman" w:hAnsi="Times New Roman" w:cs="Times New Roman"/>
          <w:b/>
          <w:bCs/>
          <w:sz w:val="28"/>
          <w:szCs w:val="28"/>
        </w:rPr>
        <w:t>2. Приоритеты и цели деятельности администрации</w:t>
      </w:r>
    </w:p>
    <w:p w:rsidR="00C31ACC" w:rsidRDefault="00C31ACC" w:rsidP="00C31ACC">
      <w:pPr>
        <w:autoSpaceDE w:val="0"/>
        <w:autoSpaceDN w:val="0"/>
        <w:adjustRightInd w:val="0"/>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города в сфере местного самоуправления</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Цель Программы определяется стратегической целью, предусматривающей развитие системы образования, обеспечивающей формирование человеческого капитала. Задачи Программы согласованы со стратегическим приоритетом первого уровня </w:t>
      </w:r>
      <w:r>
        <w:rPr>
          <w:rFonts w:ascii="Times New Roman" w:hAnsi="Times New Roman" w:cs="Times New Roman"/>
          <w:sz w:val="28"/>
          <w:szCs w:val="28"/>
        </w:rPr>
        <w:t>«</w:t>
      </w:r>
      <w:r>
        <w:rPr>
          <w:rFonts w:ascii="Times New Roman" w:hAnsi="Times New Roman" w:cs="Times New Roman"/>
          <w:sz w:val="28"/>
          <w:szCs w:val="28"/>
        </w:rPr>
        <w:t>Накопление человеческого капитала</w:t>
      </w:r>
      <w:r>
        <w:rPr>
          <w:rFonts w:ascii="Times New Roman" w:hAnsi="Times New Roman" w:cs="Times New Roman"/>
          <w:sz w:val="28"/>
          <w:szCs w:val="28"/>
        </w:rPr>
        <w:t>»</w:t>
      </w:r>
      <w:r>
        <w:rPr>
          <w:rFonts w:ascii="Times New Roman" w:hAnsi="Times New Roman" w:cs="Times New Roman"/>
          <w:sz w:val="28"/>
          <w:szCs w:val="28"/>
        </w:rPr>
        <w:t>.</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Успешность развития муниципальной службы зависит от разработки и реализации мероприятий, направленных на практическое применение новых технологий муниципального управления.</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Современная муниципальная служба должна быть открытой, конкурентоспособной, престижной и ориентированной на результативную деятельность муниципальных служащих по обеспечению исполнения полномочий органов местного самоуправления.</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Целью деятельности администрации города в сфере местного самоуправления является повышение эффективности и результативности муниципальной службы.</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Для достижения поставленной цели и обеспечения результатов ее реализации предполагается решение следующих основных задач:</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повышение эффективности деятельности органов местного самоуправления;</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профессиональное развитие муниципальных служащих органов местного самоуправления.</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p>
    <w:p w:rsidR="00C31ACC" w:rsidRDefault="00C31ACC" w:rsidP="00C31ACC">
      <w:pPr>
        <w:autoSpaceDE w:val="0"/>
        <w:autoSpaceDN w:val="0"/>
        <w:adjustRightInd w:val="0"/>
        <w:spacing w:after="0" w:line="240" w:lineRule="auto"/>
        <w:ind w:firstLine="709"/>
        <w:jc w:val="center"/>
        <w:outlineLvl w:val="1"/>
        <w:rPr>
          <w:rFonts w:ascii="Times New Roman" w:hAnsi="Times New Roman" w:cs="Times New Roman"/>
          <w:b/>
          <w:bCs/>
          <w:sz w:val="28"/>
          <w:szCs w:val="28"/>
        </w:rPr>
      </w:pPr>
      <w:r>
        <w:rPr>
          <w:rFonts w:ascii="Times New Roman" w:hAnsi="Times New Roman" w:cs="Times New Roman"/>
          <w:b/>
          <w:bCs/>
          <w:sz w:val="28"/>
          <w:szCs w:val="28"/>
        </w:rPr>
        <w:t>3. Прогноз конечных результатов реализации Программы</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результате реализации мероприятий Программы ожидается:</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повышение уровня комплексной оценки эффективности деятельности органов местного самоуправления за год, предшествующий отчетному году с 0,498 до 0,505;</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сохранение ежегодной доли муниципальных служащих, получивших дополнительное образование на уровне 25%.</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p>
    <w:p w:rsidR="00C31ACC" w:rsidRDefault="00C31ACC" w:rsidP="00C31ACC">
      <w:pPr>
        <w:autoSpaceDE w:val="0"/>
        <w:autoSpaceDN w:val="0"/>
        <w:adjustRightInd w:val="0"/>
        <w:spacing w:after="0" w:line="240" w:lineRule="auto"/>
        <w:ind w:firstLine="709"/>
        <w:jc w:val="center"/>
        <w:outlineLvl w:val="1"/>
        <w:rPr>
          <w:rFonts w:ascii="Times New Roman" w:hAnsi="Times New Roman" w:cs="Times New Roman"/>
          <w:b/>
          <w:bCs/>
          <w:sz w:val="28"/>
          <w:szCs w:val="28"/>
        </w:rPr>
      </w:pPr>
      <w:r>
        <w:rPr>
          <w:rFonts w:ascii="Times New Roman" w:hAnsi="Times New Roman" w:cs="Times New Roman"/>
          <w:b/>
          <w:bCs/>
          <w:sz w:val="28"/>
          <w:szCs w:val="28"/>
        </w:rPr>
        <w:t>4. Сроки реализации Программы</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Срок реализации муниципальной программы 2021 - 2024 годы, выполнение этапов не предусматривается.</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p>
    <w:p w:rsidR="00C31ACC" w:rsidRDefault="00C31ACC" w:rsidP="00C31ACC">
      <w:pPr>
        <w:autoSpaceDE w:val="0"/>
        <w:autoSpaceDN w:val="0"/>
        <w:adjustRightInd w:val="0"/>
        <w:spacing w:after="0" w:line="240" w:lineRule="auto"/>
        <w:ind w:firstLine="709"/>
        <w:jc w:val="center"/>
        <w:outlineLvl w:val="1"/>
        <w:rPr>
          <w:rFonts w:ascii="Times New Roman" w:hAnsi="Times New Roman" w:cs="Times New Roman"/>
          <w:b/>
          <w:bCs/>
          <w:sz w:val="28"/>
          <w:szCs w:val="28"/>
        </w:rPr>
      </w:pPr>
      <w:r>
        <w:rPr>
          <w:rFonts w:ascii="Times New Roman" w:hAnsi="Times New Roman" w:cs="Times New Roman"/>
          <w:b/>
          <w:bCs/>
          <w:sz w:val="28"/>
          <w:szCs w:val="28"/>
        </w:rPr>
        <w:t>5. Перечень показателей индикаторов Программы</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Перечень целевых показателей (индикаторов) эффективности реализации Программы приведен в </w:t>
      </w:r>
      <w:hyperlink r:id="rId9" w:history="1">
        <w:r>
          <w:rPr>
            <w:rFonts w:ascii="Times New Roman" w:hAnsi="Times New Roman" w:cs="Times New Roman"/>
            <w:color w:val="0000FF"/>
            <w:sz w:val="28"/>
            <w:szCs w:val="28"/>
          </w:rPr>
          <w:t>приложении N 1</w:t>
        </w:r>
      </w:hyperlink>
      <w:r>
        <w:rPr>
          <w:rFonts w:ascii="Times New Roman" w:hAnsi="Times New Roman" w:cs="Times New Roman"/>
          <w:sz w:val="28"/>
          <w:szCs w:val="28"/>
        </w:rPr>
        <w:t xml:space="preserve"> к настоящей Программе.</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Показатель </w:t>
      </w:r>
      <w:r>
        <w:rPr>
          <w:rFonts w:ascii="Times New Roman" w:hAnsi="Times New Roman" w:cs="Times New Roman"/>
          <w:sz w:val="28"/>
          <w:szCs w:val="28"/>
        </w:rPr>
        <w:t>«</w:t>
      </w:r>
      <w:r>
        <w:rPr>
          <w:rFonts w:ascii="Times New Roman" w:hAnsi="Times New Roman" w:cs="Times New Roman"/>
          <w:sz w:val="28"/>
          <w:szCs w:val="28"/>
        </w:rPr>
        <w:t>Комплексная оценка эффективности деятельности органов местного самоуправления за год, предшествующий отчетному году</w:t>
      </w:r>
      <w:r>
        <w:rPr>
          <w:rFonts w:ascii="Times New Roman" w:hAnsi="Times New Roman" w:cs="Times New Roman"/>
          <w:sz w:val="28"/>
          <w:szCs w:val="28"/>
        </w:rPr>
        <w:t>»</w:t>
      </w:r>
      <w:r>
        <w:rPr>
          <w:rFonts w:ascii="Times New Roman" w:hAnsi="Times New Roman" w:cs="Times New Roman"/>
          <w:sz w:val="28"/>
          <w:szCs w:val="28"/>
        </w:rPr>
        <w:t>.</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Расчет комплексной оценки осуществляется министерством экономического развития Хабаровского края в соответствии с </w:t>
      </w:r>
      <w:hyperlink r:id="rId10" w:history="1">
        <w:r>
          <w:rPr>
            <w:rFonts w:ascii="Times New Roman" w:hAnsi="Times New Roman" w:cs="Times New Roman"/>
            <w:color w:val="0000FF"/>
            <w:sz w:val="28"/>
            <w:szCs w:val="28"/>
          </w:rPr>
          <w:t>пунктами 7</w:t>
        </w:r>
      </w:hyperlink>
      <w:r>
        <w:rPr>
          <w:rFonts w:ascii="Times New Roman" w:hAnsi="Times New Roman" w:cs="Times New Roman"/>
          <w:sz w:val="28"/>
          <w:szCs w:val="28"/>
        </w:rPr>
        <w:t xml:space="preserve">, </w:t>
      </w:r>
      <w:hyperlink r:id="rId11" w:history="1">
        <w:r>
          <w:rPr>
            <w:rFonts w:ascii="Times New Roman" w:hAnsi="Times New Roman" w:cs="Times New Roman"/>
            <w:color w:val="0000FF"/>
            <w:sz w:val="28"/>
            <w:szCs w:val="28"/>
          </w:rPr>
          <w:t>9</w:t>
        </w:r>
      </w:hyperlink>
      <w:r>
        <w:rPr>
          <w:rFonts w:ascii="Times New Roman" w:hAnsi="Times New Roman" w:cs="Times New Roman"/>
          <w:sz w:val="28"/>
          <w:szCs w:val="28"/>
        </w:rPr>
        <w:t xml:space="preserve"> - </w:t>
      </w:r>
      <w:hyperlink r:id="rId12" w:history="1">
        <w:r>
          <w:rPr>
            <w:rFonts w:ascii="Times New Roman" w:hAnsi="Times New Roman" w:cs="Times New Roman"/>
            <w:color w:val="0000FF"/>
            <w:sz w:val="28"/>
            <w:szCs w:val="28"/>
          </w:rPr>
          <w:t>14 раздела II</w:t>
        </w:r>
      </w:hyperlink>
      <w:r>
        <w:rPr>
          <w:rFonts w:ascii="Times New Roman" w:hAnsi="Times New Roman" w:cs="Times New Roman"/>
          <w:sz w:val="28"/>
          <w:szCs w:val="28"/>
        </w:rPr>
        <w:t xml:space="preserve"> методических рекомендаций о выделении за счет бюджетных ассигнований из бюджета субъекта Российской Федерации грантов муниципальным образованиям в целях содействия достижению и (или) поощрения достижения наилучших значений показателей деятельности органов местного самоуправления городских округов и муниципальных районов, утвержденных Постановлением Правительства Российской Федерации от 17 декабря 2012 г. N 1317 </w:t>
      </w:r>
      <w:r>
        <w:rPr>
          <w:rFonts w:ascii="Times New Roman" w:hAnsi="Times New Roman" w:cs="Times New Roman"/>
          <w:sz w:val="28"/>
          <w:szCs w:val="28"/>
        </w:rPr>
        <w:t>«</w:t>
      </w:r>
      <w:r>
        <w:rPr>
          <w:rFonts w:ascii="Times New Roman" w:hAnsi="Times New Roman" w:cs="Times New Roman"/>
          <w:sz w:val="28"/>
          <w:szCs w:val="28"/>
        </w:rPr>
        <w:t xml:space="preserve">О мерах по реализации Указа Президента Российской Федерации от 28 апреля 2008 г. N 607 </w:t>
      </w:r>
      <w:r>
        <w:rPr>
          <w:rFonts w:ascii="Times New Roman" w:hAnsi="Times New Roman" w:cs="Times New Roman"/>
          <w:sz w:val="28"/>
          <w:szCs w:val="28"/>
        </w:rPr>
        <w:t>«</w:t>
      </w:r>
      <w:r>
        <w:rPr>
          <w:rFonts w:ascii="Times New Roman" w:hAnsi="Times New Roman" w:cs="Times New Roman"/>
          <w:sz w:val="28"/>
          <w:szCs w:val="28"/>
        </w:rPr>
        <w:t>Об оценке эффективности деятельности органов местного самоуправления городских округов и муниципальных районов</w:t>
      </w:r>
      <w:r>
        <w:rPr>
          <w:rFonts w:ascii="Times New Roman" w:hAnsi="Times New Roman" w:cs="Times New Roman"/>
          <w:sz w:val="28"/>
          <w:szCs w:val="28"/>
        </w:rPr>
        <w:t>»</w:t>
      </w:r>
      <w:r>
        <w:rPr>
          <w:rFonts w:ascii="Times New Roman" w:hAnsi="Times New Roman" w:cs="Times New Roman"/>
          <w:sz w:val="28"/>
          <w:szCs w:val="28"/>
        </w:rPr>
        <w:t xml:space="preserve"> и подпункта </w:t>
      </w:r>
      <w:r>
        <w:rPr>
          <w:rFonts w:ascii="Times New Roman" w:hAnsi="Times New Roman" w:cs="Times New Roman"/>
          <w:sz w:val="28"/>
          <w:szCs w:val="28"/>
        </w:rPr>
        <w:t>«</w:t>
      </w:r>
      <w:r>
        <w:rPr>
          <w:rFonts w:ascii="Times New Roman" w:hAnsi="Times New Roman" w:cs="Times New Roman"/>
          <w:sz w:val="28"/>
          <w:szCs w:val="28"/>
        </w:rPr>
        <w:t>и</w:t>
      </w:r>
      <w:r>
        <w:rPr>
          <w:rFonts w:ascii="Times New Roman" w:hAnsi="Times New Roman" w:cs="Times New Roman"/>
          <w:sz w:val="28"/>
          <w:szCs w:val="28"/>
        </w:rPr>
        <w:t>»</w:t>
      </w:r>
      <w:r>
        <w:rPr>
          <w:rFonts w:ascii="Times New Roman" w:hAnsi="Times New Roman" w:cs="Times New Roman"/>
          <w:sz w:val="28"/>
          <w:szCs w:val="28"/>
        </w:rPr>
        <w:t xml:space="preserve"> пункта 2 Указа Президента Российской Федерации от 7 мая 2012 г. N 601 </w:t>
      </w:r>
      <w:r>
        <w:rPr>
          <w:rFonts w:ascii="Times New Roman" w:hAnsi="Times New Roman" w:cs="Times New Roman"/>
          <w:sz w:val="28"/>
          <w:szCs w:val="28"/>
        </w:rPr>
        <w:t>«</w:t>
      </w:r>
      <w:r>
        <w:rPr>
          <w:rFonts w:ascii="Times New Roman" w:hAnsi="Times New Roman" w:cs="Times New Roman"/>
          <w:sz w:val="28"/>
          <w:szCs w:val="28"/>
        </w:rPr>
        <w:t>Об основных направлениях совершенствования системы государственного управления</w:t>
      </w:r>
      <w:r>
        <w:rPr>
          <w:rFonts w:ascii="Times New Roman" w:hAnsi="Times New Roman" w:cs="Times New Roman"/>
          <w:sz w:val="28"/>
          <w:szCs w:val="28"/>
        </w:rPr>
        <w:t>»</w:t>
      </w:r>
      <w:r>
        <w:rPr>
          <w:rFonts w:ascii="Times New Roman" w:hAnsi="Times New Roman" w:cs="Times New Roman"/>
          <w:sz w:val="28"/>
          <w:szCs w:val="28"/>
        </w:rPr>
        <w:t xml:space="preserve">, и </w:t>
      </w:r>
      <w:hyperlink r:id="rId13" w:history="1">
        <w:r>
          <w:rPr>
            <w:rFonts w:ascii="Times New Roman" w:hAnsi="Times New Roman" w:cs="Times New Roman"/>
            <w:color w:val="0000FF"/>
            <w:sz w:val="28"/>
            <w:szCs w:val="28"/>
          </w:rPr>
          <w:t>Перечнем</w:t>
        </w:r>
      </w:hyperlink>
      <w:r>
        <w:rPr>
          <w:rFonts w:ascii="Times New Roman" w:hAnsi="Times New Roman" w:cs="Times New Roman"/>
          <w:sz w:val="28"/>
          <w:szCs w:val="28"/>
        </w:rPr>
        <w:t xml:space="preserve"> показателей эффективности деятельности органов местного самоуправления, используемых для определения размера грантов городским округам (муниципальным районам) Хабаровского края в целях содействия достижению и (или) поощрения достижения наилучших значений показателей эффективности деятельности органов местного самоуправления, утвержденным постановлением Правительства Хабаровского края от 20 мая 2013 г. N 122-пр </w:t>
      </w:r>
      <w:r>
        <w:rPr>
          <w:rFonts w:ascii="Times New Roman" w:hAnsi="Times New Roman" w:cs="Times New Roman"/>
          <w:sz w:val="28"/>
          <w:szCs w:val="28"/>
        </w:rPr>
        <w:t>«</w:t>
      </w:r>
      <w:r>
        <w:rPr>
          <w:rFonts w:ascii="Times New Roman" w:hAnsi="Times New Roman" w:cs="Times New Roman"/>
          <w:sz w:val="28"/>
          <w:szCs w:val="28"/>
        </w:rPr>
        <w:t>Об оценке эффективности деятельности органов местного самоуправления городских округов и муниципальных районов Хабаровского края</w:t>
      </w:r>
      <w:r>
        <w:rPr>
          <w:rFonts w:ascii="Times New Roman" w:hAnsi="Times New Roman" w:cs="Times New Roman"/>
          <w:sz w:val="28"/>
          <w:szCs w:val="28"/>
        </w:rPr>
        <w:t>»</w:t>
      </w:r>
      <w:r>
        <w:rPr>
          <w:rFonts w:ascii="Times New Roman" w:hAnsi="Times New Roman" w:cs="Times New Roman"/>
          <w:sz w:val="28"/>
          <w:szCs w:val="28"/>
        </w:rPr>
        <w:t>.</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Значение показателя комплексной оценки представляется министерством экономического развития Хабаровского края ежегодно один раз в под, за год, предшествующий отчетному году в сводном докладе Хабаровского края о результатах мониторинга эффективности деятельности органов местного самоуправления городских округов и муниципальных районов Хабаровского края, подготовленном и размещенном на официальном сайте Хабаровского края и Правительства Хабаровского края www.khabkrai.ru в информационно-телекоммуникационной сети </w:t>
      </w:r>
      <w:r>
        <w:rPr>
          <w:rFonts w:ascii="Times New Roman" w:hAnsi="Times New Roman" w:cs="Times New Roman"/>
          <w:sz w:val="28"/>
          <w:szCs w:val="28"/>
        </w:rPr>
        <w:t>«</w:t>
      </w:r>
      <w:r>
        <w:rPr>
          <w:rFonts w:ascii="Times New Roman" w:hAnsi="Times New Roman" w:cs="Times New Roman"/>
          <w:sz w:val="28"/>
          <w:szCs w:val="28"/>
        </w:rPr>
        <w:t>Интернет</w:t>
      </w:r>
      <w:r>
        <w:rPr>
          <w:rFonts w:ascii="Times New Roman" w:hAnsi="Times New Roman" w:cs="Times New Roman"/>
          <w:sz w:val="28"/>
          <w:szCs w:val="28"/>
        </w:rPr>
        <w:t>»</w:t>
      </w:r>
      <w:r>
        <w:rPr>
          <w:rFonts w:ascii="Times New Roman" w:hAnsi="Times New Roman" w:cs="Times New Roman"/>
          <w:sz w:val="28"/>
          <w:szCs w:val="28"/>
        </w:rPr>
        <w:t>, в срок до 01 октября.</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Источник данных - Департамент экономического развития администрации города.</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Показатель </w:t>
      </w:r>
      <w:r>
        <w:rPr>
          <w:rFonts w:ascii="Times New Roman" w:hAnsi="Times New Roman" w:cs="Times New Roman"/>
          <w:sz w:val="28"/>
          <w:szCs w:val="28"/>
        </w:rPr>
        <w:t>«</w:t>
      </w:r>
      <w:r>
        <w:rPr>
          <w:rFonts w:ascii="Times New Roman" w:hAnsi="Times New Roman" w:cs="Times New Roman"/>
          <w:sz w:val="28"/>
          <w:szCs w:val="28"/>
        </w:rPr>
        <w:t>Доля муниципальных служащих, получивших дополнительное профессиональное образование, прошедших обучение, от общего количества муниципальных служащих</w:t>
      </w:r>
      <w:r>
        <w:rPr>
          <w:rFonts w:ascii="Times New Roman" w:hAnsi="Times New Roman" w:cs="Times New Roman"/>
          <w:sz w:val="28"/>
          <w:szCs w:val="28"/>
        </w:rPr>
        <w:t>»</w:t>
      </w:r>
      <w:r>
        <w:rPr>
          <w:rFonts w:ascii="Times New Roman" w:hAnsi="Times New Roman" w:cs="Times New Roman"/>
          <w:sz w:val="28"/>
          <w:szCs w:val="28"/>
        </w:rPr>
        <w:t xml:space="preserve"> определяется как отношение количества муниципальных служащих, прошедших обучение, к общему числу муниципальных служащих.</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Источник данных - Отдел кадровой и муниципальной службы.</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p>
    <w:p w:rsidR="00C31ACC" w:rsidRDefault="00C31ACC" w:rsidP="00C31ACC">
      <w:pPr>
        <w:autoSpaceDE w:val="0"/>
        <w:autoSpaceDN w:val="0"/>
        <w:adjustRightInd w:val="0"/>
        <w:spacing w:after="0" w:line="240" w:lineRule="auto"/>
        <w:ind w:firstLine="709"/>
        <w:jc w:val="center"/>
        <w:outlineLvl w:val="1"/>
        <w:rPr>
          <w:rFonts w:ascii="Times New Roman" w:hAnsi="Times New Roman" w:cs="Times New Roman"/>
          <w:b/>
          <w:bCs/>
          <w:sz w:val="28"/>
          <w:szCs w:val="28"/>
        </w:rPr>
      </w:pPr>
      <w:r>
        <w:rPr>
          <w:rFonts w:ascii="Times New Roman" w:hAnsi="Times New Roman" w:cs="Times New Roman"/>
          <w:b/>
          <w:bCs/>
          <w:sz w:val="28"/>
          <w:szCs w:val="28"/>
        </w:rPr>
        <w:t>6. Краткое описание основных мероприятий Программы</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Комплекс мероприятий, обеспечивающих достижение поставленных Программой задач, предполагается осуществлять по следующим основным направлениям:</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6.1. Стимулирование органов местного самоуправления городского округа города Комсомольск-на-Амуре к повышению эффективности деятельности.</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Для реализации основного мероприятия планируется осуществление мероприятия, направленного на повышение эффективности деятельности органов местного самоуправления, на обеспечение надлежащих условий для качественного исполнения муниципальными служащими своих должностных (служебных) на муниципальной службе (услуги связи, командировочные расходы, приобретение материальных запасов, оборудования и т.д.).</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6.2. Профессиональное развитие муниципальных служащих органов местного самоуправления.</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рамках реализации данного мероприятия осуществляется профессиональное развитие муниципальных служащих при проведении дополнительного профессионального образования, а также иных мероприятий по профессиональному развитию, включающих введение новых форм обучения, ориентированных на развитие управленческих навыков в муниципальном управлении (организацию проведения тренингов, семинаров, внутреннего обучения и др.).</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hyperlink r:id="rId14" w:history="1">
        <w:r>
          <w:rPr>
            <w:rFonts w:ascii="Times New Roman" w:hAnsi="Times New Roman" w:cs="Times New Roman"/>
            <w:color w:val="0000FF"/>
            <w:sz w:val="28"/>
            <w:szCs w:val="28"/>
          </w:rPr>
          <w:t>Перечень</w:t>
        </w:r>
      </w:hyperlink>
      <w:r>
        <w:rPr>
          <w:rFonts w:ascii="Times New Roman" w:hAnsi="Times New Roman" w:cs="Times New Roman"/>
          <w:sz w:val="28"/>
          <w:szCs w:val="28"/>
        </w:rPr>
        <w:t xml:space="preserve"> основных мероприятий и мероприятий муниципальной программы </w:t>
      </w:r>
      <w:r>
        <w:rPr>
          <w:rFonts w:ascii="Times New Roman" w:hAnsi="Times New Roman" w:cs="Times New Roman"/>
          <w:sz w:val="28"/>
          <w:szCs w:val="28"/>
        </w:rPr>
        <w:t>«</w:t>
      </w:r>
      <w:r>
        <w:rPr>
          <w:rFonts w:ascii="Times New Roman" w:hAnsi="Times New Roman" w:cs="Times New Roman"/>
          <w:sz w:val="28"/>
          <w:szCs w:val="28"/>
        </w:rPr>
        <w:t>Развитие муниципальной службы в городе Комсомольске-на-Амуре</w:t>
      </w:r>
      <w:r>
        <w:rPr>
          <w:rFonts w:ascii="Times New Roman" w:hAnsi="Times New Roman" w:cs="Times New Roman"/>
          <w:sz w:val="28"/>
          <w:szCs w:val="28"/>
        </w:rPr>
        <w:t>»</w:t>
      </w:r>
      <w:r>
        <w:rPr>
          <w:rFonts w:ascii="Times New Roman" w:hAnsi="Times New Roman" w:cs="Times New Roman"/>
          <w:sz w:val="28"/>
          <w:szCs w:val="28"/>
        </w:rPr>
        <w:t xml:space="preserve"> приведен в приложении N 2 к настоящей Программе.</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p>
    <w:p w:rsidR="00C31ACC" w:rsidRDefault="00C31ACC" w:rsidP="00C31ACC">
      <w:pPr>
        <w:autoSpaceDE w:val="0"/>
        <w:autoSpaceDN w:val="0"/>
        <w:adjustRightInd w:val="0"/>
        <w:spacing w:after="0" w:line="240" w:lineRule="auto"/>
        <w:ind w:firstLine="709"/>
        <w:jc w:val="center"/>
        <w:outlineLvl w:val="1"/>
        <w:rPr>
          <w:rFonts w:ascii="Times New Roman" w:hAnsi="Times New Roman" w:cs="Times New Roman"/>
          <w:b/>
          <w:bCs/>
          <w:sz w:val="28"/>
          <w:szCs w:val="28"/>
        </w:rPr>
      </w:pPr>
      <w:r>
        <w:rPr>
          <w:rFonts w:ascii="Times New Roman" w:hAnsi="Times New Roman" w:cs="Times New Roman"/>
          <w:b/>
          <w:bCs/>
          <w:sz w:val="28"/>
          <w:szCs w:val="28"/>
        </w:rPr>
        <w:t>7. Ресурсное обеспечение Программы</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bookmarkStart w:id="0" w:name="_GoBack"/>
      <w:bookmarkEnd w:id="0"/>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Реализация Программы обеспечивается за счет средств местного бюджета города Комсомольска-на-Амуре.</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 реализацию мероприятий Программы в 2021 - 2024 годах предполагается направить бюджетные ассигнования в размере 41 700,76 тыс. рублей, в том числе по годам:</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2021 год - 13 935,33 тыс. рублей;</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2022 год - 9 110,01 тыс. рублей;</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2023 год - 9 327,71 тыс. рублей;</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2024 год - 9 327,71 тыс. рублей,</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из местного бюджета - 41 700,76 тыс. рублей, в том числе по годам:</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2021 год - 13 935,33 тыс. рублей;</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2022 год - 9 110,01 тыс. рублей;</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2023 год - 9 327,71 тыс. рублей;</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2024 год - 9 327,71 тыс. рублей.</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Объемы финансирования подлежат ежегодному уточнению, исходя из возможностей бюджета города Комсомольска-на-Амуре на очередной финансовый год.</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Ресурсное </w:t>
      </w:r>
      <w:hyperlink r:id="rId15" w:history="1">
        <w:r>
          <w:rPr>
            <w:rFonts w:ascii="Times New Roman" w:hAnsi="Times New Roman" w:cs="Times New Roman"/>
            <w:color w:val="0000FF"/>
            <w:sz w:val="28"/>
            <w:szCs w:val="28"/>
          </w:rPr>
          <w:t>обеспечение</w:t>
        </w:r>
      </w:hyperlink>
      <w:r>
        <w:rPr>
          <w:rFonts w:ascii="Times New Roman" w:hAnsi="Times New Roman" w:cs="Times New Roman"/>
          <w:sz w:val="28"/>
          <w:szCs w:val="28"/>
        </w:rPr>
        <w:t xml:space="preserve"> реализации Программы представлено в приложении N 3 к настоящей Программе.</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p>
    <w:p w:rsidR="00C31ACC" w:rsidRDefault="00C31ACC" w:rsidP="00C31ACC">
      <w:pPr>
        <w:autoSpaceDE w:val="0"/>
        <w:autoSpaceDN w:val="0"/>
        <w:adjustRightInd w:val="0"/>
        <w:spacing w:after="0" w:line="240" w:lineRule="auto"/>
        <w:ind w:firstLine="709"/>
        <w:jc w:val="center"/>
        <w:outlineLvl w:val="1"/>
        <w:rPr>
          <w:rFonts w:ascii="Times New Roman" w:hAnsi="Times New Roman" w:cs="Times New Roman"/>
          <w:b/>
          <w:bCs/>
          <w:sz w:val="28"/>
          <w:szCs w:val="28"/>
        </w:rPr>
      </w:pPr>
      <w:r>
        <w:rPr>
          <w:rFonts w:ascii="Times New Roman" w:hAnsi="Times New Roman" w:cs="Times New Roman"/>
          <w:b/>
          <w:bCs/>
          <w:sz w:val="28"/>
          <w:szCs w:val="28"/>
        </w:rPr>
        <w:t>8. Механизм реализации Программы</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Механизм реализации муниципальной Программы осуществляется ответственным исполнителям Программы - Отделом бухгалтерии.</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процессе реализации ответственный исполнитель муниципальной Программы осуществляют следующие полномочия:</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обеспечивает разработку проекта муниципальной программы, ее согласование с соисполнителями и утверждение;</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определяет соисполнителей и участников муниципальной программы;</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организует реализацию муниципальной программы, осуществляет координацию деятельности соисполнителей и участников муниципальной программы, вносит по согласованию с соисполнителями изменения в муниципальную программу и несет ответственность за достижение показателей (индикаторов) муниципальной программы, а также конечных результатов ее реализации;</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запрашивает у соисполнителей и участников муниципальной программы информацию, необходимую для проведения мониторинга реализации муниципальной программы и подготовки полугодового, годового отчетов;</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осуществляет мониторинг реализации муниципальной программы, подготавливает полугодовой отчет и в срок до 20-го июля текущего года направляет первому заместителю главы администрации города - руководителю Департамента экономического развития администрации города Комсомольска-на-Амуре, для рассмотрения и согласования;</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направляет полугодовой отчет в Департамент экономического развития администрации города в течение трех рабочих дней, после его согласования первым заместителем главы администрации города - руководителем Департамента экономического развития администрации города Комсомольска-на-Амуре;</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предоставляет годовой отчет о ходе реализации и оценке эффективности реализации Программы в Департамент экономического развития администрации города до 01 марта года, следующего за отчетным;</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несет ответственность за достоверность информации в полугодовом и годовом отчетах;</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обеспечивает размещение в электронном виде годовых отчетов и отчетных данных о реализации муниципальной программы на официальном сайте органов местного самоуправления (в срок до 01 марта года, следующего за отчетным) и посредством государственной автоматизированной системы отчетных данных о реализации муниципальной программы (в срок до 17 мая, следующего за отчетным).</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Соисполнители Программы:</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участвуют в разработке и осуществляют реализацию мероприятий муниципальной Программы, в отношении которых они являются соисполнителями;</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представляют в части своей компетенции предложения ответственному исполнителю по корректировке муниципальной программы;</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в срок до 01 февраля года, следующего за отчетным, представляют ответственному исполнителю необходимую информацию для подготовки годового отчета;</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в срок до 01 июля года, текущего года, представляют ответственному исполнителю необходимую информацию для проведения мониторинга реализации муниципальной программы и подготовки полугодового отчета;</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несут ответственность, в части своей компетенции, за достоверность информации в полугодовом и годовом отчетах;</w:t>
      </w:r>
    </w:p>
    <w:p w:rsidR="00C31ACC" w:rsidRDefault="00C31ACC" w:rsidP="00C31AC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несут ответственность за достижение показателей (индикаторов), конечных результатов реализации мероприятий подпрограмм и основных мероприятий муниципальной программы, ответственными за которые они являются.</w:t>
      </w:r>
    </w:p>
    <w:p w:rsidR="009C0AAB" w:rsidRPr="00C31ACC" w:rsidRDefault="009C0AAB" w:rsidP="00C31ACC">
      <w:pPr>
        <w:spacing w:after="0" w:line="240" w:lineRule="auto"/>
        <w:ind w:firstLine="709"/>
      </w:pPr>
    </w:p>
    <w:sectPr w:rsidR="009C0AAB" w:rsidRPr="00C31ACC" w:rsidSect="00BF647B">
      <w:headerReference w:type="even" r:id="rId16"/>
      <w:headerReference w:type="default" r:id="rId17"/>
      <w:footerReference w:type="even" r:id="rId18"/>
      <w:footerReference w:type="default" r:id="rId19"/>
      <w:headerReference w:type="first" r:id="rId20"/>
      <w:footerReference w:type="first" r:id="rId21"/>
      <w:pgSz w:w="11905" w:h="16840"/>
      <w:pgMar w:top="1134" w:right="680" w:bottom="1134" w:left="1531" w:header="454" w:footer="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250B" w:rsidRDefault="00F8250B" w:rsidP="00F8250B">
      <w:pPr>
        <w:spacing w:after="0" w:line="240" w:lineRule="auto"/>
      </w:pPr>
      <w:r>
        <w:separator/>
      </w:r>
    </w:p>
  </w:endnote>
  <w:endnote w:type="continuationSeparator" w:id="0">
    <w:p w:rsidR="00F8250B" w:rsidRDefault="00F8250B" w:rsidP="00F825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47B" w:rsidRDefault="00BF647B">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47B" w:rsidRDefault="00BF647B">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47B" w:rsidRDefault="00BF647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250B" w:rsidRDefault="00F8250B" w:rsidP="00F8250B">
      <w:pPr>
        <w:spacing w:after="0" w:line="240" w:lineRule="auto"/>
      </w:pPr>
      <w:r>
        <w:separator/>
      </w:r>
    </w:p>
  </w:footnote>
  <w:footnote w:type="continuationSeparator" w:id="0">
    <w:p w:rsidR="00F8250B" w:rsidRDefault="00F8250B" w:rsidP="00F825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47B" w:rsidRDefault="00BF647B">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3952551"/>
      <w:docPartObj>
        <w:docPartGallery w:val="Page Numbers (Top of Page)"/>
        <w:docPartUnique/>
      </w:docPartObj>
    </w:sdtPr>
    <w:sdtEndPr>
      <w:rPr>
        <w:rFonts w:ascii="Times New Roman" w:hAnsi="Times New Roman" w:cs="Times New Roman"/>
        <w:sz w:val="24"/>
        <w:szCs w:val="24"/>
      </w:rPr>
    </w:sdtEndPr>
    <w:sdtContent>
      <w:p w:rsidR="00F8250B" w:rsidRPr="00BF647B" w:rsidRDefault="00F8250B">
        <w:pPr>
          <w:pStyle w:val="a5"/>
          <w:jc w:val="center"/>
          <w:rPr>
            <w:rFonts w:ascii="Times New Roman" w:hAnsi="Times New Roman" w:cs="Times New Roman"/>
            <w:sz w:val="24"/>
            <w:szCs w:val="24"/>
          </w:rPr>
        </w:pPr>
        <w:r w:rsidRPr="00BF647B">
          <w:rPr>
            <w:rFonts w:ascii="Times New Roman" w:hAnsi="Times New Roman" w:cs="Times New Roman"/>
            <w:sz w:val="24"/>
            <w:szCs w:val="24"/>
          </w:rPr>
          <w:fldChar w:fldCharType="begin"/>
        </w:r>
        <w:r w:rsidRPr="00BF647B">
          <w:rPr>
            <w:rFonts w:ascii="Times New Roman" w:hAnsi="Times New Roman" w:cs="Times New Roman"/>
            <w:sz w:val="24"/>
            <w:szCs w:val="24"/>
          </w:rPr>
          <w:instrText>PAGE   \* MERGEFORMAT</w:instrText>
        </w:r>
        <w:r w:rsidRPr="00BF647B">
          <w:rPr>
            <w:rFonts w:ascii="Times New Roman" w:hAnsi="Times New Roman" w:cs="Times New Roman"/>
            <w:sz w:val="24"/>
            <w:szCs w:val="24"/>
          </w:rPr>
          <w:fldChar w:fldCharType="separate"/>
        </w:r>
        <w:r w:rsidR="00C31ACC">
          <w:rPr>
            <w:rFonts w:ascii="Times New Roman" w:hAnsi="Times New Roman" w:cs="Times New Roman"/>
            <w:noProof/>
            <w:sz w:val="24"/>
            <w:szCs w:val="24"/>
          </w:rPr>
          <w:t>2</w:t>
        </w:r>
        <w:r w:rsidRPr="00BF647B">
          <w:rPr>
            <w:rFonts w:ascii="Times New Roman" w:hAnsi="Times New Roman" w:cs="Times New Roman"/>
            <w:sz w:val="24"/>
            <w:szCs w:val="24"/>
          </w:rPr>
          <w:fldChar w:fldCharType="end"/>
        </w:r>
      </w:p>
    </w:sdtContent>
  </w:sdt>
  <w:p w:rsidR="00F8250B" w:rsidRDefault="00F8250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47B" w:rsidRDefault="00BF647B">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AAB"/>
    <w:rsid w:val="001F79B3"/>
    <w:rsid w:val="002133C2"/>
    <w:rsid w:val="005A192D"/>
    <w:rsid w:val="00744BE0"/>
    <w:rsid w:val="007D2CC6"/>
    <w:rsid w:val="00874325"/>
    <w:rsid w:val="009C0AAB"/>
    <w:rsid w:val="00A25B72"/>
    <w:rsid w:val="00BF647B"/>
    <w:rsid w:val="00C31ACC"/>
    <w:rsid w:val="00F825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D2CC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D2CC6"/>
    <w:rPr>
      <w:rFonts w:ascii="Tahoma" w:hAnsi="Tahoma" w:cs="Tahoma"/>
      <w:sz w:val="16"/>
      <w:szCs w:val="16"/>
    </w:rPr>
  </w:style>
  <w:style w:type="paragraph" w:styleId="a5">
    <w:name w:val="header"/>
    <w:basedOn w:val="a"/>
    <w:link w:val="a6"/>
    <w:uiPriority w:val="99"/>
    <w:unhideWhenUsed/>
    <w:rsid w:val="00F8250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8250B"/>
  </w:style>
  <w:style w:type="paragraph" w:styleId="a7">
    <w:name w:val="footer"/>
    <w:basedOn w:val="a"/>
    <w:link w:val="a8"/>
    <w:uiPriority w:val="99"/>
    <w:unhideWhenUsed/>
    <w:rsid w:val="00F8250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8250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D2CC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D2CC6"/>
    <w:rPr>
      <w:rFonts w:ascii="Tahoma" w:hAnsi="Tahoma" w:cs="Tahoma"/>
      <w:sz w:val="16"/>
      <w:szCs w:val="16"/>
    </w:rPr>
  </w:style>
  <w:style w:type="paragraph" w:styleId="a5">
    <w:name w:val="header"/>
    <w:basedOn w:val="a"/>
    <w:link w:val="a6"/>
    <w:uiPriority w:val="99"/>
    <w:unhideWhenUsed/>
    <w:rsid w:val="00F8250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8250B"/>
  </w:style>
  <w:style w:type="paragraph" w:styleId="a7">
    <w:name w:val="footer"/>
    <w:basedOn w:val="a"/>
    <w:link w:val="a8"/>
    <w:uiPriority w:val="99"/>
    <w:unhideWhenUsed/>
    <w:rsid w:val="00F8250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825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F03D66D2443CBCD43A9C4B6368A5280B06881226C198E70AAF327288EF21434F758E0D3E512929EE10E132328C06C51BFDC5C1E2BAA2275B005F0C1z34AB" TargetMode="External"/><Relationship Id="rId13" Type="http://schemas.openxmlformats.org/officeDocument/2006/relationships/hyperlink" Target="consultantplus://offline/ref=8F03D66D2443CBCD43A9C4B6368A5280B06881226C1F8472AFF827288EF21434F758E0D3E512929DE30547736C9E3500FE97501F30B62376zA4FB"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yperlink" Target="consultantplus://offline/ref=8F03D66D2443CBCD43A9C4B6368A5280B06881226C1A8072AFFB27288EF21434F758E0D3E512929EE10E132329C06C51BFDC5C1E2BAA2275B005F0C1z34AB" TargetMode="External"/><Relationship Id="rId12" Type="http://schemas.openxmlformats.org/officeDocument/2006/relationships/hyperlink" Target="consultantplus://offline/ref=8F03D66D2443CBCD43A9DABB20E60C8CB263DA2E6A1F8D27F3AE217FD1A21261B718E686A6569D9CE80547736C9E3500FE97501F30B62376zA4FB" TargetMode="External"/><Relationship Id="rId17" Type="http://schemas.openxmlformats.org/officeDocument/2006/relationships/header" Target="header2.xml"/><Relationship Id="rId2" Type="http://schemas.microsoft.com/office/2007/relationships/stylesWithEffects" Target="stylesWithEffect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consultantplus://offline/ref=8F03D66D2443CBCD43A9DABB20E60C8CB263DA2E6A1F8D27F3AE217FD1A21261B718E686A6569D9EE00547736C9E3500FE97501F30B62376zA4FB" TargetMode="External"/><Relationship Id="rId5" Type="http://schemas.openxmlformats.org/officeDocument/2006/relationships/footnotes" Target="footnotes.xml"/><Relationship Id="rId15" Type="http://schemas.openxmlformats.org/officeDocument/2006/relationships/hyperlink" Target="consultantplus://offline/ref=8F03D66D2443CBCD43A9C4B6368A5280B06881226C1E8075AFFA27288EF21434F758E0D3E512929EE10E112129C06C51BFDC5C1E2BAA2275B005F0C1z34AB" TargetMode="External"/><Relationship Id="rId23" Type="http://schemas.openxmlformats.org/officeDocument/2006/relationships/theme" Target="theme/theme1.xml"/><Relationship Id="rId10" Type="http://schemas.openxmlformats.org/officeDocument/2006/relationships/hyperlink" Target="consultantplus://offline/ref=8F03D66D2443CBCD43A9DABB20E60C8CB263DA2E6A1F8D27F3AE217FD1A21261B718E686A6569D9FE00547736C9E3500FE97501F30B62376zA4FB"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consultantplus://offline/ref=8F03D66D2443CBCD43A9C4B6368A5280B06881226C1E8075AFFA27288EF21434F758E0D3E512929EE10E12202BC06C51BFDC5C1E2BAA2275B005F0C1z34AB" TargetMode="External"/><Relationship Id="rId14" Type="http://schemas.openxmlformats.org/officeDocument/2006/relationships/hyperlink" Target="consultantplus://offline/ref=8F03D66D2443CBCD43A9C4B6368A5280B06881226C1E8075AFFA27288EF21434F758E0D3E512929EE10E122B2EC06C51BFDC5C1E2BAA2275B005F0C1z34AB"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2700</Words>
  <Characters>15391</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Михалева Н.В.</dc:creator>
  <cp:lastModifiedBy>Михалева Н.В.</cp:lastModifiedBy>
  <cp:revision>2</cp:revision>
  <cp:lastPrinted>2021-11-05T01:58:00Z</cp:lastPrinted>
  <dcterms:created xsi:type="dcterms:W3CDTF">2021-11-05T01:59:00Z</dcterms:created>
  <dcterms:modified xsi:type="dcterms:W3CDTF">2021-11-05T01:59:00Z</dcterms:modified>
</cp:coreProperties>
</file>